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8"/>
        </w:tabs>
        <w:spacing w:after="0"/>
        <w:rPr>
          <w:rFonts w:hint="default" w:eastAsia="等线" w:cs="Arial"/>
          <w:b/>
          <w:sz w:val="24"/>
          <w:lang w:val="en-US" w:eastAsia="zh-CN"/>
        </w:rPr>
      </w:pPr>
      <w:r>
        <w:rPr>
          <w:rFonts w:cs="Arial"/>
          <w:b/>
          <w:sz w:val="24"/>
        </w:rPr>
        <w:t>SA WG2 Meeting #16</w:t>
      </w:r>
      <w:r>
        <w:rPr>
          <w:rFonts w:hint="eastAsia" w:cs="Arial"/>
          <w:b/>
          <w:sz w:val="24"/>
          <w:lang w:val="en-US" w:eastAsia="zh-CN"/>
        </w:rPr>
        <w:t>8</w:t>
      </w:r>
      <w:r>
        <w:rPr>
          <w:rFonts w:cs="Arial"/>
          <w:b/>
          <w:sz w:val="24"/>
        </w:rPr>
        <w:tab/>
      </w:r>
      <w:r>
        <w:rPr>
          <w:rFonts w:hint="eastAsia" w:cs="Arial"/>
          <w:b/>
          <w:sz w:val="24"/>
          <w:lang w:val="en-US" w:eastAsia="zh-CN"/>
        </w:rPr>
        <w:t xml:space="preserve">   </w:t>
      </w:r>
      <w:r>
        <w:rPr>
          <w:rFonts w:hint="eastAsia" w:cs="Arial"/>
          <w:b/>
          <w:sz w:val="24"/>
        </w:rPr>
        <w:t>S2-2503763</w:t>
      </w:r>
      <w:bookmarkStart w:id="7" w:name="_GoBack"/>
      <w:bookmarkEnd w:id="7"/>
    </w:p>
    <w:p>
      <w:pPr>
        <w:pStyle w:val="90"/>
        <w:pBdr>
          <w:bottom w:val="single" w:color="auto" w:sz="6" w:space="0"/>
        </w:pBdr>
        <w:tabs>
          <w:tab w:val="right" w:pos="9638"/>
        </w:tabs>
        <w:spacing w:after="0"/>
        <w:rPr>
          <w:rFonts w:hint="eastAsia" w:eastAsia="等线" w:cs="Arial"/>
          <w:b/>
          <w:sz w:val="24"/>
          <w:lang w:val="en-US" w:eastAsia="zh-CN"/>
        </w:rPr>
      </w:pPr>
      <w:r>
        <w:rPr>
          <w:rFonts w:hint="eastAsia"/>
          <w:b/>
          <w:sz w:val="24"/>
          <w:lang w:val="en-US" w:eastAsia="zh-CN"/>
        </w:rPr>
        <w:t>7-11 April, 2025, Goteborg, Sweden</w:t>
      </w:r>
      <w:r>
        <w:rPr>
          <w:rFonts w:hint="eastAsia" w:cs="Arial"/>
          <w:b/>
          <w:sz w:val="24"/>
          <w:lang w:val="en-US" w:eastAsia="zh-CN"/>
        </w:rPr>
        <w:tab/>
      </w:r>
      <w:r>
        <w:rPr>
          <w:rFonts w:hint="eastAsia" w:cs="Arial"/>
          <w:b/>
          <w:sz w:val="24"/>
          <w:lang w:val="en-US" w:eastAsia="zh-CN"/>
        </w:rPr>
        <w:t xml:space="preserve">   </w:t>
      </w:r>
    </w:p>
    <w:p>
      <w:pPr>
        <w:pStyle w:val="90"/>
        <w:tabs>
          <w:tab w:val="right" w:pos="9638"/>
        </w:tabs>
        <w:spacing w:after="0"/>
        <w:rPr>
          <w:rFonts w:cs="Arial"/>
          <w:b/>
          <w:sz w:val="24"/>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lang w:val="en-US" w:eastAsia="zh-CN"/>
        </w:rPr>
        <w:t xml:space="preserve">[draft] </w:t>
      </w:r>
      <w:r>
        <w:rPr>
          <w:rFonts w:hint="eastAsia" w:ascii="Arial" w:hAnsi="Arial" w:eastAsia="宋体" w:cs="Arial"/>
          <w:b/>
          <w:sz w:val="22"/>
          <w:szCs w:val="22"/>
          <w:lang w:val="en-US" w:eastAsia="zh-CN"/>
        </w:rPr>
        <w:t xml:space="preserve">Reply </w:t>
      </w:r>
      <w:r>
        <w:rPr>
          <w:rFonts w:ascii="Arial" w:hAnsi="Arial" w:cs="Arial"/>
          <w:b/>
          <w:sz w:val="22"/>
          <w:szCs w:val="22"/>
        </w:rPr>
        <w:t xml:space="preserve">LS on </w:t>
      </w:r>
      <w:r>
        <w:rPr>
          <w:rFonts w:hint="eastAsia" w:ascii="Arial" w:hAnsi="Arial" w:cs="Arial"/>
          <w:b/>
          <w:sz w:val="22"/>
          <w:szCs w:val="22"/>
        </w:rPr>
        <w:t>multiplexing capability negotiation</w:t>
      </w:r>
    </w:p>
    <w:p>
      <w:pPr>
        <w:spacing w:after="60"/>
        <w:ind w:left="1985" w:hanging="1985"/>
        <w:rPr>
          <w:rFonts w:hint="eastAsia" w:ascii="Arial" w:hAnsi="Arial" w:eastAsia="宋体" w:cs="Arial"/>
          <w:b/>
          <w:bCs/>
          <w:sz w:val="22"/>
          <w:szCs w:val="22"/>
          <w:lang w:val="en-US" w:eastAsia="zh-CN"/>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Pr>
          <w:rFonts w:hint="eastAsia" w:ascii="Arial" w:hAnsi="Arial" w:cs="Arial"/>
          <w:b/>
          <w:sz w:val="22"/>
          <w:szCs w:val="22"/>
        </w:rPr>
        <w:t>LS on multiplexing capability negotiation</w:t>
      </w:r>
      <w:r>
        <w:rPr>
          <w:rFonts w:hint="eastAsia" w:ascii="Arial" w:hAnsi="Arial" w:eastAsia="宋体" w:cs="Arial"/>
          <w:b/>
          <w:sz w:val="22"/>
          <w:szCs w:val="22"/>
          <w:lang w:val="en-US" w:eastAsia="zh-CN"/>
        </w:rPr>
        <w:t xml:space="preserve"> </w:t>
      </w:r>
      <w:r>
        <w:rPr>
          <w:rFonts w:ascii="Arial" w:hAnsi="Arial" w:cs="Arial"/>
          <w:b/>
          <w:bCs/>
          <w:sz w:val="22"/>
          <w:szCs w:val="22"/>
        </w:rPr>
        <w:t>(S</w:t>
      </w:r>
      <w:r>
        <w:rPr>
          <w:rFonts w:hint="eastAsia" w:ascii="Arial" w:hAnsi="Arial" w:cs="Arial"/>
          <w:b/>
          <w:bCs/>
          <w:sz w:val="22"/>
          <w:szCs w:val="22"/>
          <w:lang w:eastAsia="ja-JP"/>
        </w:rPr>
        <w:t>2-2</w:t>
      </w:r>
      <w:r>
        <w:rPr>
          <w:rFonts w:hint="eastAsia" w:ascii="Arial" w:hAnsi="Arial" w:eastAsia="宋体" w:cs="Arial"/>
          <w:b/>
          <w:bCs/>
          <w:sz w:val="22"/>
          <w:szCs w:val="22"/>
          <w:lang w:val="en-US" w:eastAsia="zh-CN"/>
        </w:rPr>
        <w:t>502807</w:t>
      </w:r>
      <w:r>
        <w:rPr>
          <w:rFonts w:hint="eastAsia" w:ascii="Arial" w:hAnsi="Arial" w:cs="Arial"/>
          <w:b/>
          <w:bCs/>
          <w:sz w:val="22"/>
          <w:szCs w:val="22"/>
          <w:lang w:eastAsia="ja-JP"/>
        </w:rPr>
        <w:t>/C1-250885</w:t>
      </w:r>
      <w:r>
        <w:rPr>
          <w:rFonts w:ascii="Arial" w:hAnsi="Arial" w:cs="Arial"/>
          <w:b/>
          <w:bCs/>
          <w:sz w:val="22"/>
          <w:szCs w:val="22"/>
        </w:rPr>
        <w:t>)</w:t>
      </w:r>
    </w:p>
    <w:bookmarkEnd w:id="0"/>
    <w:bookmarkEnd w:id="1"/>
    <w:p>
      <w:pPr>
        <w:spacing w:after="60"/>
        <w:ind w:left="1985" w:hanging="1985"/>
        <w:rPr>
          <w:rFonts w:ascii="Arial" w:hAnsi="Arial" w:cs="Arial"/>
          <w:b/>
          <w:bCs/>
          <w:sz w:val="22"/>
          <w:szCs w:val="22"/>
        </w:rPr>
      </w:pPr>
      <w:bookmarkStart w:id="2" w:name="OLE_LINK60"/>
      <w:bookmarkStart w:id="3" w:name="OLE_LINK61"/>
      <w:bookmarkStart w:id="4" w:name="OLE_LINK59"/>
      <w:r>
        <w:rPr>
          <w:rFonts w:ascii="Arial" w:hAnsi="Arial" w:cs="Arial"/>
          <w:b/>
          <w:sz w:val="22"/>
          <w:szCs w:val="22"/>
        </w:rPr>
        <w:t>Release:</w:t>
      </w:r>
      <w:r>
        <w:rPr>
          <w:rFonts w:ascii="Arial" w:hAnsi="Arial" w:cs="Arial"/>
          <w:b/>
          <w:bCs/>
          <w:sz w:val="22"/>
          <w:szCs w:val="22"/>
        </w:rPr>
        <w:tab/>
      </w:r>
      <w:r>
        <w:rPr>
          <w:rFonts w:hint="eastAsia" w:ascii="Arial" w:hAnsi="Arial" w:cs="Arial"/>
          <w:b/>
          <w:bCs/>
          <w:sz w:val="22"/>
          <w:szCs w:val="22"/>
          <w:lang w:eastAsia="zh-CN"/>
        </w:rPr>
        <w:t>Rel-1</w:t>
      </w:r>
      <w:r>
        <w:rPr>
          <w:rFonts w:hint="eastAsia" w:ascii="Arial" w:hAnsi="Arial" w:cs="Arial"/>
          <w:b/>
          <w:bCs/>
          <w:sz w:val="22"/>
          <w:szCs w:val="22"/>
          <w:lang w:val="en-US" w:eastAsia="zh-CN"/>
        </w:rPr>
        <w:t>9</w:t>
      </w:r>
    </w:p>
    <w:bookmarkEnd w:id="2"/>
    <w:bookmarkEnd w:id="3"/>
    <w:bookmarkEnd w:id="4"/>
    <w:p>
      <w:pPr>
        <w:spacing w:after="60"/>
        <w:ind w:left="1985" w:hanging="1985"/>
        <w:rPr>
          <w:rFonts w:hint="default"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lang w:val="en-US" w:eastAsia="zh-CN"/>
        </w:rPr>
        <w:t>NG_RTC_Ph2</w:t>
      </w:r>
    </w:p>
    <w:p>
      <w:pPr>
        <w:spacing w:after="60"/>
        <w:ind w:left="1985" w:hanging="1985"/>
        <w:rPr>
          <w:rFonts w:ascii="Arial" w:hAnsi="Arial" w:cs="Arial"/>
          <w:b/>
          <w:sz w:val="22"/>
          <w:szCs w:val="22"/>
        </w:rPr>
      </w:pPr>
    </w:p>
    <w:p>
      <w:pPr>
        <w:spacing w:after="60"/>
        <w:ind w:left="1985" w:hanging="1985"/>
        <w:rPr>
          <w:rFonts w:hint="default" w:ascii="Arial" w:hAnsi="Arial" w:eastAsia="宋体" w:cs="Arial"/>
          <w:b/>
          <w:bCs w:val="0"/>
          <w:sz w:val="22"/>
          <w:szCs w:val="22"/>
          <w:lang w:val="en-US" w:eastAsia="zh-CN"/>
        </w:rPr>
      </w:pPr>
      <w:r>
        <w:rPr>
          <w:rFonts w:ascii="Arial" w:hAnsi="Arial" w:cs="Arial"/>
          <w:b/>
          <w:sz w:val="22"/>
          <w:szCs w:val="22"/>
        </w:rPr>
        <w:t>Source:</w:t>
      </w:r>
      <w:r>
        <w:rPr>
          <w:rFonts w:ascii="Arial" w:hAnsi="Arial" w:cs="Arial"/>
          <w:b/>
          <w:sz w:val="22"/>
          <w:szCs w:val="22"/>
        </w:rPr>
        <w:tab/>
      </w:r>
      <w:r>
        <w:rPr>
          <w:rFonts w:hint="eastAsia" w:ascii="Arial" w:hAnsi="Arial" w:eastAsia="宋体" w:cs="Arial"/>
          <w:b/>
          <w:bCs w:val="0"/>
          <w:color w:val="000000"/>
          <w:lang w:val="en-US" w:eastAsia="zh-CN"/>
        </w:rPr>
        <w:t>China Mobile (will be SA2)</w:t>
      </w:r>
    </w:p>
    <w:p>
      <w:pPr>
        <w:spacing w:after="60"/>
        <w:ind w:left="1985" w:hanging="1985"/>
        <w:rPr>
          <w:rFonts w:hint="default" w:ascii="Arial" w:hAnsi="Arial" w:eastAsia="宋体" w:cs="Arial"/>
          <w:b/>
          <w:bCs w:val="0"/>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eastAsia="宋体" w:cs="Arial"/>
          <w:b/>
          <w:bCs w:val="0"/>
          <w:color w:val="000000"/>
          <w:lang w:val="en-US" w:eastAsia="zh-CN"/>
        </w:rPr>
        <w:t>CT1</w:t>
      </w:r>
    </w:p>
    <w:p>
      <w:pPr>
        <w:spacing w:after="60"/>
        <w:ind w:left="1985" w:hanging="1985"/>
        <w:rPr>
          <w:rFonts w:ascii="Arial" w:hAnsi="Arial" w:cs="Arial"/>
          <w:b/>
          <w:bCs/>
          <w:sz w:val="22"/>
          <w:szCs w:val="22"/>
        </w:rPr>
      </w:pPr>
      <w:bookmarkStart w:id="5" w:name="OLE_LINK45"/>
      <w:bookmarkStart w:id="6" w:name="OLE_LINK46"/>
      <w:r>
        <w:rPr>
          <w:rFonts w:ascii="Arial" w:hAnsi="Arial" w:cs="Arial"/>
          <w:b/>
          <w:sz w:val="22"/>
          <w:szCs w:val="22"/>
        </w:rPr>
        <w:t>Cc:</w:t>
      </w:r>
      <w:r>
        <w:rPr>
          <w:rFonts w:ascii="Arial" w:hAnsi="Arial" w:cs="Arial"/>
          <w:b/>
          <w:bCs/>
          <w:sz w:val="22"/>
          <w:szCs w:val="22"/>
        </w:rPr>
        <w:tab/>
      </w:r>
    </w:p>
    <w:bookmarkEnd w:id="5"/>
    <w:bookmarkEnd w:id="6"/>
    <w:p>
      <w:pPr>
        <w:spacing w:after="60"/>
        <w:ind w:left="1985" w:hanging="1985"/>
        <w:rPr>
          <w:rFonts w:ascii="Arial" w:hAnsi="Arial" w:cs="Arial"/>
          <w:bCs/>
        </w:rPr>
      </w:pPr>
    </w:p>
    <w:p>
      <w:pPr>
        <w:spacing w:after="60"/>
        <w:ind w:left="1985" w:hanging="1985"/>
        <w:rPr>
          <w:rFonts w:hint="eastAsia" w:ascii="Arial" w:hAnsi="Arial" w:eastAsia="宋体"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lang w:val="en-US" w:eastAsia="zh-CN"/>
        </w:rPr>
        <w:t>Yi Jiang</w:t>
      </w:r>
    </w:p>
    <w:p>
      <w:pPr>
        <w:spacing w:after="60"/>
        <w:ind w:left="1985" w:firstLine="0" w:firstLineChars="0"/>
        <w:rPr>
          <w:rFonts w:hint="default" w:ascii="Arial" w:hAnsi="Arial" w:eastAsia="宋体" w:cs="Arial"/>
          <w:b/>
          <w:bCs/>
          <w:sz w:val="22"/>
          <w:szCs w:val="22"/>
          <w:lang w:val="en-US" w:eastAsia="zh-CN"/>
        </w:rPr>
      </w:pPr>
      <w:r>
        <w:rPr>
          <w:rFonts w:hint="eastAsia" w:ascii="Arial" w:hAnsi="Arial" w:eastAsia="宋体" w:cs="Arial"/>
          <w:b/>
          <w:bCs/>
          <w:sz w:val="22"/>
          <w:szCs w:val="22"/>
          <w:lang w:val="en-US" w:eastAsia="zh-CN"/>
        </w:rPr>
        <w:t>jiangyi at Chinamobile dot com</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4"/>
          <w:rFonts w:ascii="Arial" w:hAnsi="Arial" w:cs="Arial"/>
          <w:b/>
          <w:sz w:val="22"/>
          <w:szCs w:val="22"/>
        </w:rPr>
        <w:t>mailto:3GPPLiaison@etsi.org</w:t>
      </w:r>
      <w:r>
        <w:rPr>
          <w:rStyle w:val="44"/>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p>
    <w:p>
      <w:pPr>
        <w:rPr>
          <w:rFonts w:ascii="Arial" w:hAnsi="Arial" w:cs="Arial"/>
        </w:rPr>
      </w:pPr>
    </w:p>
    <w:p>
      <w:pPr>
        <w:pStyle w:val="2"/>
      </w:pPr>
      <w:r>
        <w:t>1</w:t>
      </w:r>
      <w:r>
        <w:tab/>
      </w:r>
      <w:r>
        <w:t>Overall description</w:t>
      </w:r>
    </w:p>
    <w:p>
      <w:pPr>
        <w:rPr>
          <w:rFonts w:hint="default" w:ascii="Arial" w:hAnsi="Arial" w:cs="Arial"/>
          <w:iCs/>
          <w:lang w:eastAsia="zh-CN"/>
        </w:rPr>
      </w:pPr>
      <w:r>
        <w:rPr>
          <w:rFonts w:hint="default" w:ascii="Arial" w:hAnsi="Arial" w:cs="Arial"/>
          <w:iCs/>
          <w:lang w:eastAsia="zh-CN"/>
        </w:rPr>
        <w:t xml:space="preserve">SA2 thanks </w:t>
      </w:r>
      <w:r>
        <w:rPr>
          <w:rFonts w:hint="eastAsia" w:ascii="Arial" w:hAnsi="Arial" w:cs="Arial"/>
          <w:iCs/>
          <w:lang w:val="en-US" w:eastAsia="zh-CN"/>
        </w:rPr>
        <w:t>CT1</w:t>
      </w:r>
      <w:r>
        <w:rPr>
          <w:rFonts w:hint="default" w:ascii="Arial" w:hAnsi="Arial" w:cs="Arial"/>
          <w:iCs/>
          <w:lang w:eastAsia="zh-CN"/>
        </w:rPr>
        <w:t xml:space="preserve"> for the LS on multiplexing capability negotiation. </w:t>
      </w:r>
    </w:p>
    <w:p>
      <w:pPr>
        <w:rPr>
          <w:rFonts w:hint="default" w:ascii="Arial" w:hAnsi="Arial" w:cs="Arial"/>
          <w:iCs/>
          <w:sz w:val="20"/>
          <w:szCs w:val="20"/>
          <w:lang w:val="en-US" w:eastAsia="zh-CN"/>
        </w:rPr>
      </w:pPr>
      <w:r>
        <w:rPr>
          <w:rFonts w:hint="eastAsia" w:ascii="Arial" w:hAnsi="Arial" w:cs="Arial"/>
          <w:iCs/>
          <w:lang w:val="en-US" w:eastAsia="zh-CN"/>
        </w:rPr>
        <w:t xml:space="preserve">SA2 discussed the procedures of capability negotiation for data channel multiplexing and </w:t>
      </w:r>
      <w:r>
        <w:rPr>
          <w:rFonts w:hint="eastAsia" w:ascii="Arial" w:hAnsi="Arial" w:cs="Arial"/>
          <w:iCs/>
          <w:sz w:val="20"/>
          <w:szCs w:val="20"/>
          <w:lang w:val="en-US" w:eastAsia="zh-CN"/>
        </w:rPr>
        <w:t>provides the answers to the questions in the incoming LS as follows:</w:t>
      </w:r>
    </w:p>
    <w:p>
      <w:pPr>
        <w:pStyle w:val="34"/>
        <w:keepNext w:val="0"/>
        <w:keepLines w:val="0"/>
        <w:pageBreakBefore w:val="0"/>
        <w:widowControl w:val="0"/>
        <w:kinsoku/>
        <w:wordWrap/>
        <w:overflowPunct w:val="0"/>
        <w:topLinePunct w:val="0"/>
        <w:autoSpaceDE w:val="0"/>
        <w:autoSpaceDN w:val="0"/>
        <w:bidi w:val="0"/>
        <w:adjustRightInd w:val="0"/>
        <w:snapToGrid/>
        <w:spacing w:before="0" w:beforeLines="100"/>
        <w:textAlignment w:val="baseline"/>
        <w:rPr>
          <w:rFonts w:hint="eastAsia"/>
          <w:b/>
          <w:bCs w:val="0"/>
          <w:sz w:val="20"/>
          <w:szCs w:val="20"/>
          <w:lang w:val="en-US" w:eastAsia="zh-CN"/>
        </w:rPr>
      </w:pPr>
      <w:r>
        <w:rPr>
          <w:rFonts w:hint="eastAsia"/>
          <w:b/>
          <w:bCs w:val="0"/>
          <w:sz w:val="20"/>
          <w:szCs w:val="20"/>
          <w:lang w:val="en-US" w:eastAsia="zh-CN"/>
        </w:rPr>
        <w:t>On the requirement of the P-CSCF:</w:t>
      </w:r>
    </w:p>
    <w:p>
      <w:pPr>
        <w:pStyle w:val="34"/>
        <w:keepNext w:val="0"/>
        <w:keepLines w:val="0"/>
        <w:pageBreakBefore w:val="0"/>
        <w:widowControl w:val="0"/>
        <w:kinsoku/>
        <w:wordWrap/>
        <w:overflowPunct w:val="0"/>
        <w:topLinePunct w:val="0"/>
        <w:autoSpaceDE w:val="0"/>
        <w:autoSpaceDN w:val="0"/>
        <w:bidi w:val="0"/>
        <w:adjustRightInd w:val="0"/>
        <w:snapToGrid/>
        <w:spacing w:before="0" w:beforeLines="100"/>
        <w:textAlignment w:val="baseline"/>
        <w:rPr>
          <w:rFonts w:hint="eastAsia" w:eastAsiaTheme="minorEastAsia"/>
          <w:b w:val="0"/>
          <w:bCs/>
          <w:sz w:val="20"/>
          <w:szCs w:val="20"/>
          <w:lang w:val="en-US" w:eastAsia="zh-CN"/>
        </w:rPr>
      </w:pPr>
      <w:r>
        <w:rPr>
          <w:rFonts w:hint="eastAsia"/>
          <w:b w:val="0"/>
          <w:bCs/>
          <w:sz w:val="20"/>
          <w:szCs w:val="20"/>
          <w:lang w:val="en-US" w:eastAsia="zh-CN"/>
        </w:rPr>
        <w:t>Q1: During the capability negotiation between UE and IMS network, what is the consideration to require the P-CSCF to indicate its capability to the home IMS network of the UE?</w:t>
      </w:r>
    </w:p>
    <w:p>
      <w:pPr>
        <w:pStyle w:val="34"/>
        <w:keepNext w:val="0"/>
        <w:keepLines w:val="0"/>
        <w:pageBreakBefore w:val="0"/>
        <w:widowControl w:val="0"/>
        <w:kinsoku/>
        <w:wordWrap/>
        <w:overflowPunct w:val="0"/>
        <w:topLinePunct w:val="0"/>
        <w:autoSpaceDE w:val="0"/>
        <w:autoSpaceDN w:val="0"/>
        <w:bidi w:val="0"/>
        <w:adjustRightInd w:val="0"/>
        <w:snapToGrid/>
        <w:spacing w:before="0" w:beforeLines="100"/>
        <w:textAlignment w:val="baseline"/>
        <w:rPr>
          <w:rFonts w:hint="default" w:eastAsiaTheme="minorEastAsia"/>
          <w:b w:val="0"/>
          <w:bCs/>
          <w:sz w:val="20"/>
          <w:szCs w:val="20"/>
          <w:lang w:val="en-US" w:eastAsia="zh-CN"/>
        </w:rPr>
      </w:pPr>
      <w:r>
        <w:rPr>
          <w:rFonts w:hint="eastAsia" w:eastAsiaTheme="minorEastAsia"/>
          <w:b/>
          <w:bCs w:val="0"/>
          <w:sz w:val="20"/>
          <w:szCs w:val="20"/>
          <w:lang w:val="en-US" w:eastAsia="zh-CN"/>
        </w:rPr>
        <w:t>SA2 answer:</w:t>
      </w:r>
      <w:r>
        <w:rPr>
          <w:rFonts w:hint="eastAsia" w:eastAsiaTheme="minorEastAsia"/>
          <w:b w:val="0"/>
          <w:bCs/>
          <w:sz w:val="20"/>
          <w:szCs w:val="20"/>
          <w:lang w:val="en-US" w:eastAsia="zh-CN"/>
        </w:rPr>
        <w:t xml:space="preserve"> The capability indication of P-CSCF is used by S-CSCF to determine that the P-CSCF will not reject the session with SDP including multiplexed DC media or remove multiplexed DC media due to not allowed or not supporting DC multiplexing.</w:t>
      </w:r>
    </w:p>
    <w:p>
      <w:pPr>
        <w:pStyle w:val="34"/>
        <w:keepNext w:val="0"/>
        <w:keepLines w:val="0"/>
        <w:pageBreakBefore w:val="0"/>
        <w:widowControl w:val="0"/>
        <w:kinsoku/>
        <w:wordWrap/>
        <w:overflowPunct w:val="0"/>
        <w:topLinePunct w:val="0"/>
        <w:autoSpaceDE w:val="0"/>
        <w:autoSpaceDN w:val="0"/>
        <w:bidi w:val="0"/>
        <w:adjustRightInd w:val="0"/>
        <w:snapToGrid/>
        <w:spacing w:before="0" w:beforeLines="100"/>
        <w:textAlignment w:val="baseline"/>
        <w:rPr>
          <w:rFonts w:hint="eastAsia" w:eastAsiaTheme="minorEastAsia"/>
          <w:b w:val="0"/>
          <w:bCs/>
          <w:sz w:val="20"/>
          <w:szCs w:val="20"/>
          <w:lang w:val="en-US" w:eastAsia="zh-CN"/>
        </w:rPr>
      </w:pPr>
      <w:r>
        <w:rPr>
          <w:rFonts w:hint="eastAsia" w:eastAsiaTheme="minorEastAsia"/>
          <w:b w:val="0"/>
          <w:bCs/>
          <w:sz w:val="20"/>
          <w:szCs w:val="20"/>
          <w:lang w:val="en-US" w:eastAsia="zh-CN"/>
        </w:rPr>
        <w:t>Q2A: what the S-CSCF will indicate in the Feature-Caps header field included in 200 OK response to REGISTER request?</w:t>
      </w:r>
    </w:p>
    <w:p>
      <w:pPr>
        <w:pStyle w:val="34"/>
        <w:keepNext w:val="0"/>
        <w:keepLines w:val="0"/>
        <w:pageBreakBefore w:val="0"/>
        <w:widowControl w:val="0"/>
        <w:kinsoku/>
        <w:wordWrap/>
        <w:overflowPunct w:val="0"/>
        <w:topLinePunct w:val="0"/>
        <w:autoSpaceDE w:val="0"/>
        <w:autoSpaceDN w:val="0"/>
        <w:bidi w:val="0"/>
        <w:adjustRightInd w:val="0"/>
        <w:snapToGrid/>
        <w:spacing w:before="0" w:beforeLines="100"/>
        <w:textAlignment w:val="baseline"/>
        <w:rPr>
          <w:rFonts w:hint="default" w:eastAsiaTheme="minorEastAsia"/>
          <w:b w:val="0"/>
          <w:bCs/>
          <w:sz w:val="20"/>
          <w:szCs w:val="20"/>
          <w:lang w:val="en-US" w:eastAsia="zh-CN"/>
        </w:rPr>
      </w:pPr>
      <w:r>
        <w:rPr>
          <w:rFonts w:hint="eastAsia" w:eastAsiaTheme="minorEastAsia"/>
          <w:b/>
          <w:bCs w:val="0"/>
          <w:sz w:val="20"/>
          <w:szCs w:val="20"/>
          <w:lang w:val="en-US" w:eastAsia="zh-CN"/>
        </w:rPr>
        <w:t>SA2 answer:</w:t>
      </w:r>
      <w:r>
        <w:rPr>
          <w:rFonts w:hint="eastAsia" w:eastAsiaTheme="minorEastAsia"/>
          <w:b w:val="0"/>
          <w:bCs/>
          <w:sz w:val="20"/>
          <w:szCs w:val="20"/>
          <w:lang w:val="en-US" w:eastAsia="zh-CN"/>
        </w:rPr>
        <w:t xml:space="preserve"> The S-CSCF will not include the Feature-Caps header field indicating support of DC multiplexing in 200 OK response if the P-CSCF does not indicate its capability.</w:t>
      </w:r>
    </w:p>
    <w:p>
      <w:pPr>
        <w:pStyle w:val="34"/>
        <w:keepNext w:val="0"/>
        <w:keepLines w:val="0"/>
        <w:pageBreakBefore w:val="0"/>
        <w:widowControl w:val="0"/>
        <w:kinsoku/>
        <w:wordWrap/>
        <w:overflowPunct w:val="0"/>
        <w:topLinePunct w:val="0"/>
        <w:autoSpaceDE w:val="0"/>
        <w:autoSpaceDN w:val="0"/>
        <w:bidi w:val="0"/>
        <w:adjustRightInd w:val="0"/>
        <w:snapToGrid/>
        <w:spacing w:before="0" w:beforeLines="100"/>
        <w:textAlignment w:val="baseline"/>
        <w:rPr>
          <w:rFonts w:hint="eastAsia" w:eastAsiaTheme="minorEastAsia"/>
          <w:b w:val="0"/>
          <w:bCs/>
          <w:i/>
          <w:iCs/>
          <w:sz w:val="20"/>
          <w:szCs w:val="20"/>
          <w:lang w:val="en-US" w:eastAsia="zh-CN"/>
        </w:rPr>
      </w:pPr>
      <w:r>
        <w:rPr>
          <w:rFonts w:hint="eastAsia" w:eastAsiaTheme="minorEastAsia"/>
          <w:b w:val="0"/>
          <w:bCs/>
          <w:sz w:val="20"/>
          <w:szCs w:val="20"/>
          <w:lang w:val="en-US" w:eastAsia="zh-CN"/>
        </w:rPr>
        <w:t xml:space="preserve">Q2B: </w:t>
      </w:r>
      <w:r>
        <w:rPr>
          <w:rFonts w:hint="eastAsia" w:eastAsiaTheme="minorEastAsia"/>
          <w:b w:val="0"/>
          <w:bCs/>
          <w:i w:val="0"/>
          <w:iCs w:val="0"/>
          <w:sz w:val="20"/>
          <w:szCs w:val="20"/>
          <w:lang w:val="en-US" w:eastAsia="zh-CN"/>
        </w:rPr>
        <w:t>what the P-CSCF will do if the Feature-Caps header field included in 200 OK response to REGISTER request indicates support of data channel multiplexing and the P-CSCF and IMS-AGW do not support data channel multiplexing?</w:t>
      </w:r>
    </w:p>
    <w:p>
      <w:pPr>
        <w:pStyle w:val="34"/>
        <w:keepNext w:val="0"/>
        <w:keepLines w:val="0"/>
        <w:pageBreakBefore w:val="0"/>
        <w:widowControl w:val="0"/>
        <w:kinsoku/>
        <w:wordWrap/>
        <w:overflowPunct w:val="0"/>
        <w:topLinePunct w:val="0"/>
        <w:autoSpaceDE w:val="0"/>
        <w:autoSpaceDN w:val="0"/>
        <w:bidi w:val="0"/>
        <w:adjustRightInd w:val="0"/>
        <w:snapToGrid/>
        <w:spacing w:before="0" w:beforeLines="100"/>
        <w:textAlignment w:val="baseline"/>
        <w:rPr>
          <w:rFonts w:hint="default" w:eastAsiaTheme="minorEastAsia"/>
          <w:b w:val="0"/>
          <w:bCs/>
          <w:sz w:val="20"/>
          <w:szCs w:val="20"/>
          <w:lang w:val="en-US" w:eastAsia="zh-CN"/>
        </w:rPr>
      </w:pPr>
      <w:r>
        <w:rPr>
          <w:rFonts w:hint="eastAsia" w:eastAsiaTheme="minorEastAsia"/>
          <w:b/>
          <w:bCs w:val="0"/>
          <w:sz w:val="20"/>
          <w:szCs w:val="20"/>
          <w:lang w:val="en-US" w:eastAsia="zh-CN"/>
        </w:rPr>
        <w:t>SA2 answer:</w:t>
      </w:r>
      <w:r>
        <w:rPr>
          <w:rFonts w:hint="eastAsia" w:eastAsiaTheme="minorEastAsia"/>
          <w:b w:val="0"/>
          <w:bCs/>
          <w:sz w:val="20"/>
          <w:szCs w:val="20"/>
          <w:lang w:val="en-US" w:eastAsia="zh-CN"/>
        </w:rPr>
        <w:t xml:space="preserve"> According to the answers above, the scenario in this question will not happen. If it happens, it is an error case which should be in remit of CT.</w:t>
      </w:r>
    </w:p>
    <w:p>
      <w:pPr>
        <w:pStyle w:val="34"/>
        <w:keepNext w:val="0"/>
        <w:keepLines w:val="0"/>
        <w:pageBreakBefore w:val="0"/>
        <w:widowControl w:val="0"/>
        <w:kinsoku/>
        <w:wordWrap/>
        <w:overflowPunct w:val="0"/>
        <w:topLinePunct w:val="0"/>
        <w:autoSpaceDE w:val="0"/>
        <w:autoSpaceDN w:val="0"/>
        <w:bidi w:val="0"/>
        <w:adjustRightInd w:val="0"/>
        <w:snapToGrid/>
        <w:spacing w:before="0" w:beforeLines="100"/>
        <w:textAlignment w:val="baseline"/>
        <w:rPr>
          <w:rFonts w:hint="eastAsia"/>
          <w:b/>
          <w:bCs w:val="0"/>
          <w:i w:val="0"/>
          <w:iCs w:val="0"/>
          <w:sz w:val="20"/>
          <w:szCs w:val="20"/>
          <w:lang w:val="en-US" w:eastAsia="zh-CN"/>
        </w:rPr>
      </w:pPr>
      <w:r>
        <w:rPr>
          <w:rFonts w:hint="eastAsia"/>
          <w:b/>
          <w:bCs w:val="0"/>
          <w:i w:val="0"/>
          <w:iCs w:val="0"/>
          <w:sz w:val="20"/>
          <w:szCs w:val="20"/>
          <w:lang w:val="en-US" w:eastAsia="zh-CN"/>
        </w:rPr>
        <w:t>On the requirement of the S-CSCF:</w:t>
      </w:r>
    </w:p>
    <w:p>
      <w:pPr>
        <w:pStyle w:val="34"/>
        <w:keepNext w:val="0"/>
        <w:keepLines w:val="0"/>
        <w:pageBreakBefore w:val="0"/>
        <w:widowControl w:val="0"/>
        <w:kinsoku/>
        <w:wordWrap/>
        <w:overflowPunct w:val="0"/>
        <w:topLinePunct w:val="0"/>
        <w:autoSpaceDE w:val="0"/>
        <w:autoSpaceDN w:val="0"/>
        <w:bidi w:val="0"/>
        <w:adjustRightInd w:val="0"/>
        <w:snapToGrid/>
        <w:spacing w:before="0" w:beforeLines="100"/>
        <w:textAlignment w:val="baseline"/>
        <w:rPr>
          <w:rFonts w:hint="eastAsia" w:eastAsiaTheme="minorEastAsia"/>
          <w:b w:val="0"/>
          <w:bCs/>
          <w:sz w:val="20"/>
          <w:szCs w:val="20"/>
          <w:lang w:val="en-US" w:eastAsia="zh-CN"/>
        </w:rPr>
      </w:pPr>
      <w:r>
        <w:rPr>
          <w:rFonts w:hint="eastAsia" w:eastAsiaTheme="minorEastAsia"/>
          <w:b w:val="0"/>
          <w:bCs/>
          <w:sz w:val="20"/>
          <w:szCs w:val="20"/>
          <w:lang w:val="en-US" w:eastAsia="zh-CN"/>
        </w:rPr>
        <w:t>Q3: What is the consideration to require the S-CSCF to indicate its capability to the remote IMS network？</w:t>
      </w:r>
    </w:p>
    <w:p>
      <w:pPr>
        <w:pStyle w:val="34"/>
        <w:keepNext w:val="0"/>
        <w:keepLines w:val="0"/>
        <w:pageBreakBefore w:val="0"/>
        <w:widowControl w:val="0"/>
        <w:kinsoku/>
        <w:wordWrap/>
        <w:overflowPunct w:val="0"/>
        <w:topLinePunct w:val="0"/>
        <w:autoSpaceDE w:val="0"/>
        <w:autoSpaceDN w:val="0"/>
        <w:bidi w:val="0"/>
        <w:adjustRightInd w:val="0"/>
        <w:snapToGrid/>
        <w:spacing w:before="0" w:beforeLines="100"/>
        <w:textAlignment w:val="baseline"/>
        <w:rPr>
          <w:rFonts w:hint="default" w:eastAsiaTheme="minorEastAsia"/>
          <w:b w:val="0"/>
          <w:bCs/>
          <w:sz w:val="20"/>
          <w:szCs w:val="20"/>
          <w:lang w:val="en-US" w:eastAsia="zh-CN"/>
        </w:rPr>
      </w:pPr>
      <w:r>
        <w:rPr>
          <w:rFonts w:hint="eastAsia" w:eastAsiaTheme="minorEastAsia"/>
          <w:b/>
          <w:bCs w:val="0"/>
          <w:sz w:val="20"/>
          <w:szCs w:val="20"/>
          <w:lang w:val="en-US" w:eastAsia="zh-CN"/>
        </w:rPr>
        <w:t>SA2 answer:</w:t>
      </w:r>
      <w:r>
        <w:rPr>
          <w:rFonts w:hint="eastAsia" w:eastAsiaTheme="minorEastAsia"/>
          <w:b w:val="0"/>
          <w:bCs/>
          <w:sz w:val="20"/>
          <w:szCs w:val="20"/>
          <w:lang w:val="en-US" w:eastAsia="zh-CN"/>
        </w:rPr>
        <w:t xml:space="preserve"> Requiring the S-CSCF indicating its capability is to allow the terminating network knows the multiplexing capability of remote network even if the original SDP offer does not contain multiplexed SDP so that it can determine whether it multiplexes the data channels between originating and terminating IMS networks if the terminating network add data channels to existing IMS session. Without this capability indication, DC multiplexing can only be used when the IMS session originally includes multiplexed SDP offer. If the </w:t>
      </w:r>
    </w:p>
    <w:p>
      <w:pPr>
        <w:pStyle w:val="34"/>
        <w:keepNext w:val="0"/>
        <w:keepLines w:val="0"/>
        <w:pageBreakBefore w:val="0"/>
        <w:widowControl w:val="0"/>
        <w:kinsoku/>
        <w:wordWrap/>
        <w:overflowPunct w:val="0"/>
        <w:topLinePunct w:val="0"/>
        <w:autoSpaceDE w:val="0"/>
        <w:autoSpaceDN w:val="0"/>
        <w:bidi w:val="0"/>
        <w:adjustRightInd w:val="0"/>
        <w:snapToGrid/>
        <w:spacing w:before="0" w:beforeLines="100"/>
        <w:textAlignment w:val="baseline"/>
        <w:rPr>
          <w:rFonts w:hint="eastAsia" w:eastAsiaTheme="minorEastAsia"/>
          <w:b w:val="0"/>
          <w:bCs/>
          <w:sz w:val="20"/>
          <w:szCs w:val="20"/>
          <w:lang w:val="en-US" w:eastAsia="zh-CN"/>
        </w:rPr>
      </w:pPr>
      <w:r>
        <w:rPr>
          <w:rFonts w:hint="eastAsia" w:eastAsiaTheme="minorEastAsia"/>
          <w:b w:val="0"/>
          <w:bCs/>
          <w:sz w:val="20"/>
          <w:szCs w:val="20"/>
          <w:lang w:val="en-US" w:eastAsia="zh-CN"/>
        </w:rPr>
        <w:t>Q4: If the P-CSCF and IMS-AGW do not support data channel multiplexing and the MF in the home IMS network of the UE supports data channel multiplexing what the S-CSCF will indicate in the Feature-Caps header field of the INVITE request to the remote network?</w:t>
      </w:r>
    </w:p>
    <w:p>
      <w:pPr>
        <w:pStyle w:val="34"/>
        <w:keepNext w:val="0"/>
        <w:keepLines w:val="0"/>
        <w:pageBreakBefore w:val="0"/>
        <w:widowControl w:val="0"/>
        <w:kinsoku/>
        <w:wordWrap/>
        <w:overflowPunct w:val="0"/>
        <w:topLinePunct w:val="0"/>
        <w:autoSpaceDE w:val="0"/>
        <w:autoSpaceDN w:val="0"/>
        <w:bidi w:val="0"/>
        <w:adjustRightInd w:val="0"/>
        <w:snapToGrid/>
        <w:spacing w:before="0" w:beforeLines="100"/>
        <w:textAlignment w:val="baseline"/>
        <w:rPr>
          <w:rFonts w:hint="default" w:eastAsiaTheme="minorEastAsia"/>
          <w:b w:val="0"/>
          <w:bCs/>
          <w:sz w:val="20"/>
          <w:szCs w:val="20"/>
          <w:lang w:val="en-US" w:eastAsia="zh-CN"/>
        </w:rPr>
      </w:pPr>
      <w:r>
        <w:rPr>
          <w:rFonts w:hint="eastAsia" w:eastAsiaTheme="minorEastAsia"/>
          <w:b/>
          <w:bCs w:val="0"/>
          <w:sz w:val="20"/>
          <w:szCs w:val="20"/>
          <w:lang w:val="en-US" w:eastAsia="zh-CN"/>
        </w:rPr>
        <w:t>SA2 answer:</w:t>
      </w:r>
      <w:r>
        <w:rPr>
          <w:rFonts w:hint="eastAsia" w:eastAsiaTheme="minorEastAsia"/>
          <w:b w:val="0"/>
          <w:bCs/>
          <w:sz w:val="20"/>
          <w:szCs w:val="20"/>
          <w:lang w:val="en-US" w:eastAsia="zh-CN"/>
        </w:rPr>
        <w:t xml:space="preserve"> DC multiplexing is peer-to-peer instead of end-to-end. The S-CSCF may include the Feature-Caps header field indicating it</w:t>
      </w:r>
      <w:r>
        <w:rPr>
          <w:rFonts w:hint="default" w:eastAsiaTheme="minorEastAsia"/>
          <w:b w:val="0"/>
          <w:bCs/>
          <w:sz w:val="20"/>
          <w:szCs w:val="20"/>
          <w:lang w:val="en-US" w:eastAsia="zh-CN"/>
        </w:rPr>
        <w:t>’</w:t>
      </w:r>
      <w:r>
        <w:rPr>
          <w:rFonts w:hint="eastAsia" w:eastAsiaTheme="minorEastAsia"/>
          <w:b w:val="0"/>
          <w:bCs/>
          <w:sz w:val="20"/>
          <w:szCs w:val="20"/>
          <w:lang w:val="en-US" w:eastAsia="zh-CN"/>
        </w:rPr>
        <w:t>s support of DC multiplexing in the INVITE request even if the P-CSCF and IMS-AGW does not support data channel multiplexing because multiplexing data channels between IMS networks does not require support of P-CSCF and IMS-AGW.</w:t>
      </w:r>
    </w:p>
    <w:p>
      <w:pPr>
        <w:pStyle w:val="34"/>
        <w:keepNext w:val="0"/>
        <w:keepLines w:val="0"/>
        <w:pageBreakBefore w:val="0"/>
        <w:widowControl w:val="0"/>
        <w:kinsoku/>
        <w:wordWrap/>
        <w:overflowPunct w:val="0"/>
        <w:topLinePunct w:val="0"/>
        <w:autoSpaceDE w:val="0"/>
        <w:autoSpaceDN w:val="0"/>
        <w:bidi w:val="0"/>
        <w:adjustRightInd w:val="0"/>
        <w:snapToGrid/>
        <w:spacing w:before="0" w:beforeLines="100"/>
        <w:textAlignment w:val="baseline"/>
        <w:rPr>
          <w:rFonts w:hint="eastAsia" w:eastAsiaTheme="minorEastAsia"/>
          <w:b w:val="0"/>
          <w:bCs/>
          <w:sz w:val="20"/>
          <w:szCs w:val="20"/>
          <w:lang w:val="en-US" w:eastAsia="zh-CN"/>
        </w:rPr>
      </w:pPr>
      <w:r>
        <w:rPr>
          <w:rFonts w:hint="eastAsia" w:eastAsiaTheme="minorEastAsia"/>
          <w:b w:val="0"/>
          <w:bCs/>
          <w:sz w:val="20"/>
          <w:szCs w:val="20"/>
          <w:lang w:val="en-US" w:eastAsia="zh-CN"/>
        </w:rPr>
        <w:t>Q5: Can the multiplexed data channel media descriptions within an SDP offer included in the SIP request messages implicitly point out this capability of the IMS network?</w:t>
      </w:r>
    </w:p>
    <w:p>
      <w:pPr>
        <w:pStyle w:val="34"/>
        <w:keepNext w:val="0"/>
        <w:keepLines w:val="0"/>
        <w:pageBreakBefore w:val="0"/>
        <w:widowControl w:val="0"/>
        <w:kinsoku/>
        <w:wordWrap/>
        <w:overflowPunct w:val="0"/>
        <w:topLinePunct w:val="0"/>
        <w:autoSpaceDE w:val="0"/>
        <w:autoSpaceDN w:val="0"/>
        <w:bidi w:val="0"/>
        <w:adjustRightInd w:val="0"/>
        <w:snapToGrid/>
        <w:spacing w:before="0" w:beforeLines="100"/>
        <w:textAlignment w:val="baseline"/>
        <w:rPr>
          <w:rFonts w:hint="default" w:eastAsiaTheme="minorEastAsia"/>
          <w:b w:val="0"/>
          <w:bCs/>
          <w:sz w:val="20"/>
          <w:szCs w:val="20"/>
          <w:lang w:val="en-US" w:eastAsia="zh-CN"/>
        </w:rPr>
      </w:pPr>
      <w:r>
        <w:rPr>
          <w:rFonts w:hint="eastAsia" w:eastAsiaTheme="minorEastAsia"/>
          <w:b/>
          <w:bCs w:val="0"/>
          <w:sz w:val="20"/>
          <w:szCs w:val="20"/>
          <w:lang w:val="en-US" w:eastAsia="zh-CN"/>
        </w:rPr>
        <w:t>SA2 answer:</w:t>
      </w:r>
      <w:r>
        <w:rPr>
          <w:rFonts w:hint="eastAsia" w:eastAsiaTheme="minorEastAsia"/>
          <w:b w:val="0"/>
          <w:bCs/>
          <w:sz w:val="20"/>
          <w:szCs w:val="20"/>
          <w:lang w:val="en-US" w:eastAsia="zh-CN"/>
        </w:rPr>
        <w:t xml:space="preserve"> Yes.</w:t>
      </w:r>
    </w:p>
    <w:p>
      <w:pPr>
        <w:pStyle w:val="47"/>
        <w:numPr>
          <w:ilvl w:val="0"/>
          <w:numId w:val="0"/>
        </w:numPr>
        <w:ind w:left="284" w:leftChars="0"/>
        <w:rPr>
          <w:rFonts w:hint="default"/>
          <w:lang w:val="en-US" w:eastAsia="zh-CN"/>
        </w:rPr>
      </w:pPr>
    </w:p>
    <w:p>
      <w:pPr>
        <w:pStyle w:val="2"/>
      </w:pPr>
      <w:r>
        <w:t>2</w:t>
      </w:r>
      <w:r>
        <w:tab/>
      </w:r>
      <w:r>
        <w:t>Actions</w:t>
      </w:r>
    </w:p>
    <w:p>
      <w:pPr>
        <w:spacing w:after="120"/>
        <w:ind w:left="1985" w:hanging="1985"/>
        <w:rPr>
          <w:rFonts w:ascii="Arial" w:hAnsi="Arial" w:cs="Arial"/>
          <w:b/>
        </w:rPr>
      </w:pPr>
      <w:r>
        <w:rPr>
          <w:rFonts w:ascii="Arial" w:hAnsi="Arial" w:cs="Arial"/>
          <w:b/>
        </w:rPr>
        <w:t>To SA2</w:t>
      </w:r>
    </w:p>
    <w:p>
      <w:pPr>
        <w:spacing w:after="120"/>
        <w:ind w:left="993" w:hanging="993"/>
        <w:rPr>
          <w:rFonts w:hint="default" w:ascii="Arial" w:hAnsi="Arial" w:cs="Arial"/>
          <w:lang w:val="en-US"/>
        </w:rPr>
      </w:pPr>
      <w:r>
        <w:rPr>
          <w:rFonts w:ascii="Arial" w:hAnsi="Arial" w:cs="Arial"/>
          <w:b/>
        </w:rPr>
        <w:t xml:space="preserve">ACTION: </w:t>
      </w:r>
      <w:r>
        <w:rPr>
          <w:rFonts w:ascii="Arial" w:hAnsi="Arial" w:cs="Arial"/>
          <w:b/>
        </w:rPr>
        <w:tab/>
      </w:r>
      <w:r>
        <w:rPr>
          <w:rFonts w:hint="default" w:ascii="Arial" w:hAnsi="Arial" w:cs="Arial"/>
        </w:rPr>
        <w:t>SA</w:t>
      </w:r>
      <w:r>
        <w:rPr>
          <w:rFonts w:hint="default" w:ascii="Arial" w:hAnsi="Arial" w:eastAsia="宋体" w:cs="Arial"/>
          <w:lang w:val="en-US" w:eastAsia="zh-CN"/>
        </w:rPr>
        <w:t>2</w:t>
      </w:r>
      <w:r>
        <w:rPr>
          <w:rFonts w:hint="default" w:ascii="Arial" w:hAnsi="Arial" w:cs="Arial"/>
        </w:rPr>
        <w:t xml:space="preserve"> kindly asks </w:t>
      </w:r>
      <w:r>
        <w:rPr>
          <w:rFonts w:hint="eastAsia" w:ascii="Arial" w:hAnsi="Arial" w:eastAsia="宋体" w:cs="Arial"/>
          <w:lang w:val="en-US" w:eastAsia="zh-CN"/>
        </w:rPr>
        <w:t>CT1</w:t>
      </w:r>
      <w:r>
        <w:rPr>
          <w:rFonts w:hint="default" w:ascii="Arial" w:hAnsi="Arial" w:cs="Arial"/>
        </w:rPr>
        <w:t xml:space="preserve"> to </w:t>
      </w:r>
      <w:r>
        <w:rPr>
          <w:rFonts w:hint="default" w:ascii="Arial" w:hAnsi="Arial" w:eastAsia="宋体" w:cs="Arial"/>
          <w:lang w:val="en-US" w:eastAsia="zh-CN"/>
        </w:rPr>
        <w:t xml:space="preserve">taken the </w:t>
      </w:r>
      <w:r>
        <w:rPr>
          <w:rFonts w:hint="eastAsia" w:ascii="Arial" w:hAnsi="Arial" w:eastAsia="宋体" w:cs="Arial"/>
          <w:lang w:val="en-US" w:eastAsia="zh-CN"/>
        </w:rPr>
        <w:t>answers</w:t>
      </w:r>
      <w:r>
        <w:rPr>
          <w:rFonts w:hint="default" w:ascii="Arial" w:hAnsi="Arial" w:eastAsia="宋体" w:cs="Arial"/>
          <w:lang w:val="en-US" w:eastAsia="zh-CN"/>
        </w:rPr>
        <w:t xml:space="preserve"> above into account</w:t>
      </w:r>
      <w:r>
        <w:rPr>
          <w:rFonts w:hint="eastAsia" w:ascii="Arial" w:hAnsi="Arial" w:eastAsia="宋体" w:cs="Arial"/>
          <w:lang w:val="en-US" w:eastAsia="zh-CN"/>
        </w:rPr>
        <w:t>.</w:t>
      </w: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w:t>
      </w:r>
      <w:r>
        <w:rPr>
          <w:rFonts w:hint="eastAsia" w:eastAsia="宋体" w:cs="Arial"/>
          <w:bCs/>
          <w:szCs w:val="36"/>
          <w:lang w:val="en-US" w:eastAsia="zh-CN"/>
        </w:rPr>
        <w:t>2</w:t>
      </w:r>
      <w:r>
        <w:rPr>
          <w:szCs w:val="36"/>
        </w:rPr>
        <w:t xml:space="preserve"> meetings</w:t>
      </w:r>
    </w:p>
    <w:p>
      <w:pPr>
        <w:tabs>
          <w:tab w:val="left" w:pos="5103"/>
        </w:tabs>
        <w:spacing w:after="120"/>
        <w:rPr>
          <w:rFonts w:hint="default" w:ascii="Arial" w:hAnsi="Arial" w:cs="Arial"/>
          <w:bCs/>
          <w:lang w:val="en-US" w:eastAsia="zh-CN"/>
        </w:rPr>
      </w:pPr>
      <w:r>
        <w:rPr>
          <w:rFonts w:hint="eastAsia" w:ascii="Arial" w:hAnsi="Arial" w:cs="Arial"/>
          <w:bCs/>
          <w:lang w:val="en-US" w:eastAsia="zh-CN"/>
        </w:rPr>
        <w:t>SA2#169                 19</w:t>
      </w:r>
      <w:r>
        <w:rPr>
          <w:rFonts w:hint="eastAsia" w:ascii="Arial" w:hAnsi="Arial" w:cs="Arial"/>
          <w:bCs/>
          <w:vertAlign w:val="superscript"/>
          <w:lang w:val="en-US" w:eastAsia="zh-CN"/>
        </w:rPr>
        <w:t>th</w:t>
      </w:r>
      <w:r>
        <w:rPr>
          <w:rFonts w:hint="eastAsia" w:ascii="Arial" w:hAnsi="Arial" w:cs="Arial"/>
          <w:bCs/>
          <w:lang w:val="en-US" w:eastAsia="zh-CN"/>
        </w:rPr>
        <w:t xml:space="preserve">  – 23</w:t>
      </w:r>
      <w:r>
        <w:rPr>
          <w:rFonts w:hint="eastAsia" w:ascii="Arial" w:hAnsi="Arial" w:cs="Arial"/>
          <w:bCs/>
          <w:vertAlign w:val="superscript"/>
          <w:lang w:val="en-US" w:eastAsia="zh-CN"/>
        </w:rPr>
        <w:t>th</w:t>
      </w:r>
      <w:r>
        <w:rPr>
          <w:rFonts w:hint="eastAsia" w:ascii="Arial" w:hAnsi="Arial" w:cs="Arial"/>
          <w:bCs/>
          <w:lang w:val="en-US" w:eastAsia="zh-CN"/>
        </w:rPr>
        <w:t xml:space="preserve"> May 2025                     Japan</w:t>
      </w:r>
    </w:p>
    <w:p>
      <w:pPr>
        <w:tabs>
          <w:tab w:val="left" w:pos="5103"/>
        </w:tabs>
        <w:spacing w:after="120"/>
        <w:rPr>
          <w:rFonts w:hint="default" w:ascii="Arial" w:hAnsi="Arial" w:cs="Arial"/>
          <w:bCs/>
          <w:lang w:val="en-US" w:eastAsia="zh-CN"/>
        </w:rPr>
      </w:pPr>
      <w:r>
        <w:rPr>
          <w:rFonts w:hint="eastAsia" w:ascii="Arial" w:hAnsi="Arial" w:cs="Arial"/>
          <w:bCs/>
          <w:lang w:val="en-US" w:eastAsia="zh-CN"/>
        </w:rPr>
        <w:t>SA2#170                 25</w:t>
      </w:r>
      <w:r>
        <w:rPr>
          <w:rFonts w:hint="eastAsia" w:ascii="Arial" w:hAnsi="Arial" w:cs="Arial"/>
          <w:bCs/>
          <w:vertAlign w:val="superscript"/>
          <w:lang w:val="en-US" w:eastAsia="zh-CN"/>
        </w:rPr>
        <w:t>th</w:t>
      </w:r>
      <w:r>
        <w:rPr>
          <w:rFonts w:hint="eastAsia" w:ascii="Arial" w:hAnsi="Arial" w:cs="Arial"/>
          <w:bCs/>
          <w:lang w:val="en-US" w:eastAsia="zh-CN"/>
        </w:rPr>
        <w:t xml:space="preserve">  – 29</w:t>
      </w:r>
      <w:r>
        <w:rPr>
          <w:rFonts w:hint="eastAsia" w:ascii="Arial" w:hAnsi="Arial" w:cs="Arial"/>
          <w:bCs/>
          <w:vertAlign w:val="superscript"/>
          <w:lang w:val="en-US" w:eastAsia="zh-CN"/>
        </w:rPr>
        <w:t>th</w:t>
      </w:r>
      <w:r>
        <w:rPr>
          <w:rFonts w:hint="eastAsia" w:ascii="Arial" w:hAnsi="Arial" w:cs="Arial"/>
          <w:bCs/>
          <w:lang w:val="en-US" w:eastAsia="zh-CN"/>
        </w:rPr>
        <w:t xml:space="preserve"> August 2025                 Sweden</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linkStyles/>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52DF"/>
    <w:rsid w:val="0001587C"/>
    <w:rsid w:val="00017F23"/>
    <w:rsid w:val="00022894"/>
    <w:rsid w:val="00046F08"/>
    <w:rsid w:val="00067CAF"/>
    <w:rsid w:val="000753A5"/>
    <w:rsid w:val="0008278D"/>
    <w:rsid w:val="0008777F"/>
    <w:rsid w:val="000877C3"/>
    <w:rsid w:val="00095BC2"/>
    <w:rsid w:val="000A553B"/>
    <w:rsid w:val="000C0921"/>
    <w:rsid w:val="000C2DA1"/>
    <w:rsid w:val="000C3E1C"/>
    <w:rsid w:val="000C4710"/>
    <w:rsid w:val="000E5D9A"/>
    <w:rsid w:val="000F3CDF"/>
    <w:rsid w:val="000F6242"/>
    <w:rsid w:val="00111574"/>
    <w:rsid w:val="00141A76"/>
    <w:rsid w:val="00142136"/>
    <w:rsid w:val="001617C6"/>
    <w:rsid w:val="001730A8"/>
    <w:rsid w:val="00174844"/>
    <w:rsid w:val="00180C27"/>
    <w:rsid w:val="00190AD9"/>
    <w:rsid w:val="0020555C"/>
    <w:rsid w:val="00206474"/>
    <w:rsid w:val="002076EB"/>
    <w:rsid w:val="002201E4"/>
    <w:rsid w:val="00221A06"/>
    <w:rsid w:val="00242741"/>
    <w:rsid w:val="00257BEE"/>
    <w:rsid w:val="00270389"/>
    <w:rsid w:val="002A54BF"/>
    <w:rsid w:val="002A6824"/>
    <w:rsid w:val="002F1940"/>
    <w:rsid w:val="002F5CE3"/>
    <w:rsid w:val="00303EC6"/>
    <w:rsid w:val="0031516F"/>
    <w:rsid w:val="003179FC"/>
    <w:rsid w:val="00320F57"/>
    <w:rsid w:val="003243AC"/>
    <w:rsid w:val="00331B26"/>
    <w:rsid w:val="0034030B"/>
    <w:rsid w:val="00353755"/>
    <w:rsid w:val="00356275"/>
    <w:rsid w:val="003608AA"/>
    <w:rsid w:val="003748CD"/>
    <w:rsid w:val="00383545"/>
    <w:rsid w:val="003B55AC"/>
    <w:rsid w:val="003B654D"/>
    <w:rsid w:val="003C489E"/>
    <w:rsid w:val="003C4E3B"/>
    <w:rsid w:val="003D201F"/>
    <w:rsid w:val="003D3743"/>
    <w:rsid w:val="003D4339"/>
    <w:rsid w:val="003E48AC"/>
    <w:rsid w:val="00404EA4"/>
    <w:rsid w:val="00414E00"/>
    <w:rsid w:val="00422494"/>
    <w:rsid w:val="0042423B"/>
    <w:rsid w:val="00433500"/>
    <w:rsid w:val="00433F71"/>
    <w:rsid w:val="004366A4"/>
    <w:rsid w:val="00440D43"/>
    <w:rsid w:val="00455362"/>
    <w:rsid w:val="0045595F"/>
    <w:rsid w:val="00472AF8"/>
    <w:rsid w:val="0047705F"/>
    <w:rsid w:val="00477B79"/>
    <w:rsid w:val="0048697E"/>
    <w:rsid w:val="004B46AC"/>
    <w:rsid w:val="004D063A"/>
    <w:rsid w:val="004D338F"/>
    <w:rsid w:val="004D6BBF"/>
    <w:rsid w:val="004E3939"/>
    <w:rsid w:val="004E655B"/>
    <w:rsid w:val="00511640"/>
    <w:rsid w:val="00520EC6"/>
    <w:rsid w:val="00524687"/>
    <w:rsid w:val="005515D6"/>
    <w:rsid w:val="0056434C"/>
    <w:rsid w:val="00564E27"/>
    <w:rsid w:val="00585BFF"/>
    <w:rsid w:val="00585C0E"/>
    <w:rsid w:val="005A3356"/>
    <w:rsid w:val="005B5087"/>
    <w:rsid w:val="005B7EBE"/>
    <w:rsid w:val="005C03D4"/>
    <w:rsid w:val="005D6519"/>
    <w:rsid w:val="005F144E"/>
    <w:rsid w:val="005F3B26"/>
    <w:rsid w:val="006333F6"/>
    <w:rsid w:val="00640DF0"/>
    <w:rsid w:val="00646E60"/>
    <w:rsid w:val="00657B03"/>
    <w:rsid w:val="00682C25"/>
    <w:rsid w:val="0068753C"/>
    <w:rsid w:val="00690563"/>
    <w:rsid w:val="006A2F1E"/>
    <w:rsid w:val="006A3A35"/>
    <w:rsid w:val="006B0604"/>
    <w:rsid w:val="006B33D7"/>
    <w:rsid w:val="006C26B4"/>
    <w:rsid w:val="006D6695"/>
    <w:rsid w:val="006E0A19"/>
    <w:rsid w:val="006E0D4F"/>
    <w:rsid w:val="006E4492"/>
    <w:rsid w:val="006F2D99"/>
    <w:rsid w:val="00726022"/>
    <w:rsid w:val="0075380C"/>
    <w:rsid w:val="007618AE"/>
    <w:rsid w:val="00761997"/>
    <w:rsid w:val="007911D4"/>
    <w:rsid w:val="007B710E"/>
    <w:rsid w:val="007D2789"/>
    <w:rsid w:val="007E55DE"/>
    <w:rsid w:val="007F4F92"/>
    <w:rsid w:val="007F6F25"/>
    <w:rsid w:val="008133AD"/>
    <w:rsid w:val="008160C1"/>
    <w:rsid w:val="00817C38"/>
    <w:rsid w:val="00832356"/>
    <w:rsid w:val="00832B2B"/>
    <w:rsid w:val="00836761"/>
    <w:rsid w:val="008379A4"/>
    <w:rsid w:val="008858CD"/>
    <w:rsid w:val="008B17B3"/>
    <w:rsid w:val="008D389A"/>
    <w:rsid w:val="008D4F15"/>
    <w:rsid w:val="008D772F"/>
    <w:rsid w:val="008E197E"/>
    <w:rsid w:val="008F0896"/>
    <w:rsid w:val="008F6ACD"/>
    <w:rsid w:val="00907C42"/>
    <w:rsid w:val="00923FAE"/>
    <w:rsid w:val="00953874"/>
    <w:rsid w:val="00986007"/>
    <w:rsid w:val="0099764C"/>
    <w:rsid w:val="00997EC9"/>
    <w:rsid w:val="009A480D"/>
    <w:rsid w:val="009B23E3"/>
    <w:rsid w:val="009D3820"/>
    <w:rsid w:val="00A02370"/>
    <w:rsid w:val="00A415D6"/>
    <w:rsid w:val="00A429E6"/>
    <w:rsid w:val="00A46CCB"/>
    <w:rsid w:val="00A52CCA"/>
    <w:rsid w:val="00A653CE"/>
    <w:rsid w:val="00A66AB1"/>
    <w:rsid w:val="00A71544"/>
    <w:rsid w:val="00A72190"/>
    <w:rsid w:val="00A90373"/>
    <w:rsid w:val="00A91281"/>
    <w:rsid w:val="00AB6536"/>
    <w:rsid w:val="00AC6106"/>
    <w:rsid w:val="00AE1828"/>
    <w:rsid w:val="00AE238D"/>
    <w:rsid w:val="00B0711D"/>
    <w:rsid w:val="00B10C4D"/>
    <w:rsid w:val="00B27EB4"/>
    <w:rsid w:val="00B3067D"/>
    <w:rsid w:val="00B33F3C"/>
    <w:rsid w:val="00B37756"/>
    <w:rsid w:val="00B5011D"/>
    <w:rsid w:val="00B62010"/>
    <w:rsid w:val="00B769D8"/>
    <w:rsid w:val="00B8085C"/>
    <w:rsid w:val="00B823A6"/>
    <w:rsid w:val="00B8497D"/>
    <w:rsid w:val="00B94BCC"/>
    <w:rsid w:val="00B9530A"/>
    <w:rsid w:val="00B969CD"/>
    <w:rsid w:val="00B97703"/>
    <w:rsid w:val="00BA20C7"/>
    <w:rsid w:val="00BB6A1F"/>
    <w:rsid w:val="00C04BAC"/>
    <w:rsid w:val="00C17B7B"/>
    <w:rsid w:val="00C23C20"/>
    <w:rsid w:val="00C27E16"/>
    <w:rsid w:val="00C31789"/>
    <w:rsid w:val="00C362C0"/>
    <w:rsid w:val="00C36EA0"/>
    <w:rsid w:val="00C473EF"/>
    <w:rsid w:val="00C51206"/>
    <w:rsid w:val="00CC5783"/>
    <w:rsid w:val="00CD5002"/>
    <w:rsid w:val="00CE186C"/>
    <w:rsid w:val="00CE761F"/>
    <w:rsid w:val="00CF048E"/>
    <w:rsid w:val="00CF54E5"/>
    <w:rsid w:val="00CF6087"/>
    <w:rsid w:val="00D02856"/>
    <w:rsid w:val="00D144DE"/>
    <w:rsid w:val="00D179F0"/>
    <w:rsid w:val="00D209D8"/>
    <w:rsid w:val="00D25CD3"/>
    <w:rsid w:val="00D34F0E"/>
    <w:rsid w:val="00D54934"/>
    <w:rsid w:val="00D62A0E"/>
    <w:rsid w:val="00D75CAC"/>
    <w:rsid w:val="00D84FCE"/>
    <w:rsid w:val="00D856BD"/>
    <w:rsid w:val="00D95B02"/>
    <w:rsid w:val="00DA532C"/>
    <w:rsid w:val="00DB15AC"/>
    <w:rsid w:val="00DF165C"/>
    <w:rsid w:val="00DF7E9B"/>
    <w:rsid w:val="00E2421F"/>
    <w:rsid w:val="00E275BD"/>
    <w:rsid w:val="00E4511C"/>
    <w:rsid w:val="00E62106"/>
    <w:rsid w:val="00E62120"/>
    <w:rsid w:val="00E64424"/>
    <w:rsid w:val="00E92981"/>
    <w:rsid w:val="00E961C6"/>
    <w:rsid w:val="00EA047C"/>
    <w:rsid w:val="00EB00C4"/>
    <w:rsid w:val="00EC0AE9"/>
    <w:rsid w:val="00ED48C3"/>
    <w:rsid w:val="00F24338"/>
    <w:rsid w:val="00F33593"/>
    <w:rsid w:val="00F34B3C"/>
    <w:rsid w:val="00F845FB"/>
    <w:rsid w:val="00F91527"/>
    <w:rsid w:val="00F91A21"/>
    <w:rsid w:val="00F9465B"/>
    <w:rsid w:val="00FA110B"/>
    <w:rsid w:val="00FC0E48"/>
    <w:rsid w:val="00FC6922"/>
    <w:rsid w:val="00FE44D7"/>
    <w:rsid w:val="00FE4A5A"/>
    <w:rsid w:val="00FE77E8"/>
    <w:rsid w:val="02F8266E"/>
    <w:rsid w:val="03E50FF2"/>
    <w:rsid w:val="041462BE"/>
    <w:rsid w:val="045D79B7"/>
    <w:rsid w:val="05FC3BE0"/>
    <w:rsid w:val="06C510AB"/>
    <w:rsid w:val="079C1C01"/>
    <w:rsid w:val="07E33D9F"/>
    <w:rsid w:val="0AD61855"/>
    <w:rsid w:val="0B4D0B62"/>
    <w:rsid w:val="0C2E7888"/>
    <w:rsid w:val="0E390BE2"/>
    <w:rsid w:val="0EFD1C24"/>
    <w:rsid w:val="0F033B2E"/>
    <w:rsid w:val="0F714162"/>
    <w:rsid w:val="10306B1E"/>
    <w:rsid w:val="108C2D23"/>
    <w:rsid w:val="110754FD"/>
    <w:rsid w:val="121E634A"/>
    <w:rsid w:val="14FD72CF"/>
    <w:rsid w:val="15883A78"/>
    <w:rsid w:val="16B54E09"/>
    <w:rsid w:val="17710405"/>
    <w:rsid w:val="18573B7A"/>
    <w:rsid w:val="185A0382"/>
    <w:rsid w:val="18AC53BC"/>
    <w:rsid w:val="18E13ADF"/>
    <w:rsid w:val="1A1F0EFE"/>
    <w:rsid w:val="1AB91166"/>
    <w:rsid w:val="1B1D0E8B"/>
    <w:rsid w:val="1B1D1D3C"/>
    <w:rsid w:val="1C42171A"/>
    <w:rsid w:val="1D2855A3"/>
    <w:rsid w:val="1DBD0CD6"/>
    <w:rsid w:val="1DC53491"/>
    <w:rsid w:val="1E185370"/>
    <w:rsid w:val="1E9905C2"/>
    <w:rsid w:val="1E9A4645"/>
    <w:rsid w:val="1ECC2895"/>
    <w:rsid w:val="1F1800CF"/>
    <w:rsid w:val="1F390CCB"/>
    <w:rsid w:val="1F4D40E8"/>
    <w:rsid w:val="1F81583C"/>
    <w:rsid w:val="1FDB1D88"/>
    <w:rsid w:val="20A5723B"/>
    <w:rsid w:val="20B67E37"/>
    <w:rsid w:val="20F71596"/>
    <w:rsid w:val="237E2BC9"/>
    <w:rsid w:val="23EC0C7E"/>
    <w:rsid w:val="248E2A06"/>
    <w:rsid w:val="25621AE5"/>
    <w:rsid w:val="262C6FAF"/>
    <w:rsid w:val="27EB5C8B"/>
    <w:rsid w:val="27F67031"/>
    <w:rsid w:val="28E74AC7"/>
    <w:rsid w:val="29BA297E"/>
    <w:rsid w:val="29D37D2A"/>
    <w:rsid w:val="2A1C5CAC"/>
    <w:rsid w:val="2B1C4CED"/>
    <w:rsid w:val="2B7A135F"/>
    <w:rsid w:val="2D311D35"/>
    <w:rsid w:val="2D8D3349"/>
    <w:rsid w:val="2E10009F"/>
    <w:rsid w:val="2E462777"/>
    <w:rsid w:val="2E7745CB"/>
    <w:rsid w:val="2F8349B4"/>
    <w:rsid w:val="309511FD"/>
    <w:rsid w:val="31263AB6"/>
    <w:rsid w:val="31763C33"/>
    <w:rsid w:val="329B3A16"/>
    <w:rsid w:val="32A852AA"/>
    <w:rsid w:val="338B331E"/>
    <w:rsid w:val="3463615A"/>
    <w:rsid w:val="3474329C"/>
    <w:rsid w:val="34EC7A62"/>
    <w:rsid w:val="36491F1D"/>
    <w:rsid w:val="365A34BC"/>
    <w:rsid w:val="369C5735"/>
    <w:rsid w:val="36AD1C42"/>
    <w:rsid w:val="378B0575"/>
    <w:rsid w:val="38014AF2"/>
    <w:rsid w:val="382175A5"/>
    <w:rsid w:val="38995F6A"/>
    <w:rsid w:val="38F74F66"/>
    <w:rsid w:val="39DD52FC"/>
    <w:rsid w:val="3A453A27"/>
    <w:rsid w:val="3AC06BF4"/>
    <w:rsid w:val="3B247399"/>
    <w:rsid w:val="3C2F484C"/>
    <w:rsid w:val="3C357867"/>
    <w:rsid w:val="3C595690"/>
    <w:rsid w:val="3C6F7834"/>
    <w:rsid w:val="3D6A54CD"/>
    <w:rsid w:val="3DCD2FF3"/>
    <w:rsid w:val="3E5642C0"/>
    <w:rsid w:val="3EE927D0"/>
    <w:rsid w:val="403C65F0"/>
    <w:rsid w:val="40BF3346"/>
    <w:rsid w:val="41247BC0"/>
    <w:rsid w:val="4172341E"/>
    <w:rsid w:val="419E29B4"/>
    <w:rsid w:val="41B27457"/>
    <w:rsid w:val="41EF4D61"/>
    <w:rsid w:val="42076B60"/>
    <w:rsid w:val="43F25407"/>
    <w:rsid w:val="4537221B"/>
    <w:rsid w:val="46207231"/>
    <w:rsid w:val="46423765"/>
    <w:rsid w:val="4664520C"/>
    <w:rsid w:val="46A55C75"/>
    <w:rsid w:val="46F02871"/>
    <w:rsid w:val="47F84F3B"/>
    <w:rsid w:val="483153FC"/>
    <w:rsid w:val="49F34163"/>
    <w:rsid w:val="49FA026B"/>
    <w:rsid w:val="4A7346B1"/>
    <w:rsid w:val="4AA71FB9"/>
    <w:rsid w:val="4AC35735"/>
    <w:rsid w:val="4C742EFD"/>
    <w:rsid w:val="4CB41768"/>
    <w:rsid w:val="4D470CD7"/>
    <w:rsid w:val="4D5B1B76"/>
    <w:rsid w:val="4D7E0E31"/>
    <w:rsid w:val="4DF777F6"/>
    <w:rsid w:val="4E1600AB"/>
    <w:rsid w:val="4E324158"/>
    <w:rsid w:val="4E776E4B"/>
    <w:rsid w:val="4ED513E2"/>
    <w:rsid w:val="4EDE7AF4"/>
    <w:rsid w:val="528D14FE"/>
    <w:rsid w:val="52E6650D"/>
    <w:rsid w:val="545B07F5"/>
    <w:rsid w:val="549A5D5B"/>
    <w:rsid w:val="54DB45C6"/>
    <w:rsid w:val="553D0AD5"/>
    <w:rsid w:val="5887504C"/>
    <w:rsid w:val="589A626B"/>
    <w:rsid w:val="58A96885"/>
    <w:rsid w:val="594453FF"/>
    <w:rsid w:val="5A8A0F99"/>
    <w:rsid w:val="5C864257"/>
    <w:rsid w:val="5CCF11D3"/>
    <w:rsid w:val="5D0A40B2"/>
    <w:rsid w:val="604D6B8C"/>
    <w:rsid w:val="628132A8"/>
    <w:rsid w:val="63DA2F9D"/>
    <w:rsid w:val="63DE2B71"/>
    <w:rsid w:val="63F35B54"/>
    <w:rsid w:val="64701399"/>
    <w:rsid w:val="64E70BB3"/>
    <w:rsid w:val="65041AEF"/>
    <w:rsid w:val="654805B8"/>
    <w:rsid w:val="659A4F2D"/>
    <w:rsid w:val="65B31E66"/>
    <w:rsid w:val="663A6065"/>
    <w:rsid w:val="68523A33"/>
    <w:rsid w:val="68D77510"/>
    <w:rsid w:val="6B2F0969"/>
    <w:rsid w:val="6B433D86"/>
    <w:rsid w:val="6B6F5ECF"/>
    <w:rsid w:val="6D144001"/>
    <w:rsid w:val="6E200CBB"/>
    <w:rsid w:val="6EB846B2"/>
    <w:rsid w:val="6EF140E9"/>
    <w:rsid w:val="6F391788"/>
    <w:rsid w:val="70181D64"/>
    <w:rsid w:val="70DC43B7"/>
    <w:rsid w:val="71760D33"/>
    <w:rsid w:val="7295118A"/>
    <w:rsid w:val="730936C7"/>
    <w:rsid w:val="7345352C"/>
    <w:rsid w:val="74C64922"/>
    <w:rsid w:val="74D00AB5"/>
    <w:rsid w:val="74D84196"/>
    <w:rsid w:val="74FF0744"/>
    <w:rsid w:val="77214B01"/>
    <w:rsid w:val="77AC46E5"/>
    <w:rsid w:val="7ACF638B"/>
    <w:rsid w:val="7B5D15F3"/>
    <w:rsid w:val="7C2C3908"/>
    <w:rsid w:val="7C922B30"/>
    <w:rsid w:val="7CE65BF7"/>
    <w:rsid w:val="7D0357B6"/>
    <w:rsid w:val="7DC355E5"/>
    <w:rsid w:val="7E001BC6"/>
    <w:rsid w:val="7EFE62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qFormat/>
    <w:uiPriority w:val="0"/>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0"/>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3">
    <w:name w:val="page number"/>
    <w:basedOn w:val="42"/>
    <w:semiHidden/>
    <w:qFormat/>
    <w:uiPriority w:val="0"/>
  </w:style>
  <w:style w:type="character" w:styleId="44">
    <w:name w:val="Hyperlink"/>
    <w:unhideWhenUsed/>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B1"/>
    <w:basedOn w:val="14"/>
    <w:qFormat/>
    <w:uiPriority w:val="0"/>
  </w:style>
  <w:style w:type="paragraph" w:customStyle="1" w:styleId="48">
    <w:name w:val="00 BodyText"/>
    <w:basedOn w:val="1"/>
    <w:qFormat/>
    <w:uiPriority w:val="0"/>
    <w:pPr>
      <w:spacing w:after="220"/>
    </w:pPr>
    <w:rPr>
      <w:rFonts w:ascii="Arial" w:hAnsi="Arial"/>
      <w:sz w:val="22"/>
      <w:lang w:val="en-US" w:eastAsia="en-US"/>
    </w:rPr>
  </w:style>
  <w:style w:type="paragraph" w:customStyle="1" w:styleId="49">
    <w:name w:val="??"/>
    <w:qFormat/>
    <w:uiPriority w:val="0"/>
    <w:pPr>
      <w:widowControl w:val="0"/>
    </w:pPr>
    <w:rPr>
      <w:rFonts w:ascii="Times New Roman" w:hAnsi="Times New Roman" w:eastAsia="等线" w:cs="Times New Roman"/>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Balloon Text Char"/>
    <w:link w:val="32"/>
    <w:semiHidden/>
    <w:qFormat/>
    <w:uiPriority w:val="99"/>
    <w:rPr>
      <w:rFonts w:ascii="Tahoma" w:hAnsi="Tahoma" w:cs="Tahoma"/>
      <w:sz w:val="16"/>
      <w:szCs w:val="16"/>
      <w:lang w:val="en-GB"/>
    </w:rPr>
  </w:style>
  <w:style w:type="character" w:customStyle="1" w:styleId="56">
    <w:name w:val="Header Char"/>
    <w:link w:val="34"/>
    <w:qFormat/>
    <w:uiPriority w:val="0"/>
    <w:rPr>
      <w:rFonts w:ascii="Arial" w:hAnsi="Arial" w:eastAsia="Times New Roman"/>
      <w:b/>
      <w:sz w:val="18"/>
      <w:lang w:val="en-GB" w:eastAsia="en-GB"/>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9">
    <w:name w:val="TT"/>
    <w:basedOn w:val="2"/>
    <w:next w:val="1"/>
    <w:qFormat/>
    <w:uiPriority w:val="0"/>
    <w:pPr>
      <w:outlineLvl w:val="9"/>
    </w:pPr>
  </w:style>
  <w:style w:type="character" w:customStyle="1" w:styleId="60">
    <w:name w:val="Footnote Text Char"/>
    <w:link w:val="35"/>
    <w:semiHidden/>
    <w:qFormat/>
    <w:uiPriority w:val="0"/>
    <w:rPr>
      <w:rFonts w:eastAsia="Times New Roman"/>
      <w:sz w:val="16"/>
      <w:lang w:val="en-GB" w:eastAsia="en-GB"/>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Editor's Note"/>
    <w:basedOn w:val="66"/>
    <w:qFormat/>
    <w:uiPriority w:val="0"/>
    <w:rPr>
      <w:color w:val="FF0000"/>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8"/>
    <w:qFormat/>
    <w:uiPriority w:val="0"/>
    <w:pPr>
      <w:framePr w:hRule="auto" w:y="852"/>
    </w:pPr>
    <w:rPr>
      <w:i w:val="0"/>
      <w:sz w:val="40"/>
    </w:rPr>
  </w:style>
  <w:style w:type="paragraph" w:customStyle="1" w:styleId="90">
    <w:name w:val="CR Cover Page"/>
    <w:qFormat/>
    <w:uiPriority w:val="0"/>
    <w:pPr>
      <w:spacing w:after="120"/>
    </w:pPr>
    <w:rPr>
      <w:rFonts w:ascii="Arial" w:hAnsi="Arial" w:eastAsia="等线" w:cs="Times New Roman"/>
      <w:lang w:val="en-GB" w:eastAsia="en-US" w:bidi="ar-SA"/>
    </w:rPr>
  </w:style>
  <w:style w:type="paragraph" w:customStyle="1" w:styleId="91">
    <w:name w:val="Revision"/>
    <w:hidden/>
    <w:semiHidden/>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2</Pages>
  <Words>336</Words>
  <Characters>1919</Characters>
  <Lines>15</Lines>
  <Paragraphs>4</Paragraphs>
  <TotalTime>30</TotalTime>
  <ScaleCrop>false</ScaleCrop>
  <LinksUpToDate>false</LinksUpToDate>
  <CharactersWithSpaces>2251</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2024-04-23T14:26:00Z</dcterms:created>
  <dc:creator>David Boswarthick</dc:creator>
  <cp:lastModifiedBy>JY</cp:lastModifiedBy>
  <cp:lastPrinted>2002-04-23T07:10:00Z</cp:lastPrinted>
  <dcterms:modified xsi:type="dcterms:W3CDTF">2025-03-28T14:00:21Z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(3)Y7XtfitoXs+B6CkYJsEtE0yE9UnVMge3+xXv8wtajniPI+fT9qV3i+qx+781VBDy7M6wESJ4
I1Wl2WkRK9PTxDcPxnm0TPGuRnvT4Gw7otE21utClBc6ImfXsS2rL97yN6UfSGojBrlIgeju
H/EAy8HTDtZKveItz2wWu5XgSb520c89TyHeFBTA7SHMe+Sf5VEJBLQYOw9Oc5if2FngwfNI
hg0YDscqBFhisnNLZ6</vt:lpwstr>
  </property>
  <property fmtid="{D5CDD505-2E9C-101B-9397-08002B2CF9AE}" pid="3" name="_2015_ms_pID_7253431">
    <vt:lpwstr>RH1KAN7dnuomXVnpLxBMHUqGQZbdnXrC2gXIQ6IBCuPgrAyb7fmuFc
YcrPDMpQWUveWRSvj8OBmu8BxsnWsEg4TYDzP/idSvWUYwtKRTvCjpUcsnVkgr9A/BGUQNJd
FraYqE9fVn/ASM0/NkZdzWVLC6cjXmORqqA+E4FDUqkdEEBC4aJA9b/fCorWl7lDNfHTgqO8
N1LXy0cvxoPFE128SIu/Fz0zoianaIgCqRTk</vt:lpwstr>
  </property>
  <property fmtid="{D5CDD505-2E9C-101B-9397-08002B2CF9AE}" pid="4" name="_2015_ms_pID_7253432">
    <vt:lpwstr>At+jA2jbZFKkewi5dNBnS14=</vt:lpwstr>
  </property>
  <property fmtid="{D5CDD505-2E9C-101B-9397-08002B2CF9AE}" pid="5" name="KSOProductBuildVer">
    <vt:lpwstr>2052-11.8.2.12309</vt:lpwstr>
  </property>
  <property fmtid="{D5CDD505-2E9C-101B-9397-08002B2CF9AE}" pid="6" name="ICV">
    <vt:lpwstr>F7A55BD9059B44AC90E1B862CFD47A42</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1711333254</vt:lpwstr>
  </property>
</Properties>
</file>